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ascii="方正小标宋简体" w:hAnsi="方正小标宋简体" w:eastAsia="方正小标宋简体" w:cs="方正小标宋简体"/>
          <w:color w:val="auto"/>
          <w:kern w:val="0"/>
          <w:sz w:val="40"/>
          <w:szCs w:val="40"/>
        </w:rPr>
      </w:pPr>
      <w:r>
        <w:rPr>
          <w:rFonts w:hint="eastAsia" w:ascii="方正小标宋简体" w:hAnsi="方正小标宋简体" w:eastAsia="方正小标宋简体" w:cs="方正小标宋简体"/>
          <w:color w:val="auto"/>
          <w:kern w:val="0"/>
          <w:sz w:val="40"/>
          <w:szCs w:val="40"/>
        </w:rPr>
        <w:t>关于南平市延平区环城路100号的</w:t>
      </w:r>
      <w:bookmarkStart w:id="0" w:name="_Hlk137155808"/>
      <w:r>
        <w:rPr>
          <w:rFonts w:hint="eastAsia" w:ascii="方正小标宋简体" w:hAnsi="方正小标宋简体" w:eastAsia="方正小标宋简体" w:cs="方正小标宋简体"/>
          <w:color w:val="auto"/>
          <w:kern w:val="0"/>
          <w:sz w:val="40"/>
          <w:szCs w:val="40"/>
        </w:rPr>
        <w:t>A栋仓库、B栋仓库及C栋部分仓库</w:t>
      </w:r>
      <w:bookmarkEnd w:id="0"/>
      <w:r>
        <w:rPr>
          <w:rFonts w:hint="eastAsia" w:ascii="方正小标宋简体" w:hAnsi="方正小标宋简体" w:eastAsia="方正小标宋简体" w:cs="方正小标宋简体"/>
          <w:color w:val="auto"/>
          <w:kern w:val="0"/>
          <w:sz w:val="40"/>
          <w:szCs w:val="40"/>
        </w:rPr>
        <w:t>整体对外租赁方案</w:t>
      </w:r>
    </w:p>
    <w:p>
      <w:pPr>
        <w:tabs>
          <w:tab w:val="left" w:pos="1800"/>
        </w:tabs>
        <w:spacing w:line="579" w:lineRule="exact"/>
        <w:rPr>
          <w:rFonts w:ascii="仿宋_GB2312" w:eastAsia="仿宋_GB2312"/>
          <w:color w:val="FF0000"/>
          <w:sz w:val="32"/>
          <w:szCs w:val="32"/>
        </w:rPr>
      </w:pPr>
    </w:p>
    <w:p>
      <w:pPr>
        <w:numPr>
          <w:ilvl w:val="0"/>
          <w:numId w:val="1"/>
        </w:numPr>
        <w:spacing w:line="579" w:lineRule="exact"/>
        <w:ind w:firstLine="640"/>
        <w:rPr>
          <w:rFonts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租赁标的为福建省南平盐业有限责任公司所持有的房产，地址位于南平市延平区环城路100号A栋仓库（产权证号：南房权证字第201404196号，产权面积2</w:t>
      </w:r>
      <w:r>
        <w:rPr>
          <w:rFonts w:ascii="仿宋_GB2312" w:hAnsi="宋体" w:eastAsia="仿宋_GB2312" w:cs="宋体"/>
          <w:color w:val="auto"/>
          <w:kern w:val="0"/>
          <w:sz w:val="32"/>
          <w:szCs w:val="32"/>
        </w:rPr>
        <w:t>8.2</w:t>
      </w:r>
      <w:r>
        <w:rPr>
          <w:rFonts w:hint="eastAsia" w:ascii="仿宋_GB2312" w:hAnsi="宋体" w:eastAsia="仿宋_GB2312" w:cs="宋体"/>
          <w:color w:val="auto"/>
          <w:kern w:val="0"/>
          <w:sz w:val="32"/>
          <w:szCs w:val="32"/>
        </w:rPr>
        <w:t>㎡）；B栋仓库（产权证号：南房权证字第201404195号，产权面积6</w:t>
      </w: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㎡）；及C栋仓库（产权证号：南房权证字第201404194号，产权证面积1</w:t>
      </w:r>
      <w:r>
        <w:rPr>
          <w:rFonts w:ascii="仿宋_GB2312" w:hAnsi="宋体" w:eastAsia="仿宋_GB2312" w:cs="宋体"/>
          <w:color w:val="auto"/>
          <w:kern w:val="0"/>
          <w:sz w:val="32"/>
          <w:szCs w:val="32"/>
        </w:rPr>
        <w:t>491.69</w:t>
      </w:r>
      <w:r>
        <w:rPr>
          <w:rFonts w:hint="eastAsia" w:ascii="仿宋_GB2312" w:hAnsi="宋体" w:eastAsia="仿宋_GB2312" w:cs="宋体"/>
          <w:color w:val="auto"/>
          <w:kern w:val="0"/>
          <w:sz w:val="32"/>
          <w:szCs w:val="32"/>
        </w:rPr>
        <w:t>㎡）。</w:t>
      </w:r>
    </w:p>
    <w:p>
      <w:pPr>
        <w:spacing w:line="360" w:lineRule="auto"/>
        <w:ind w:firstLine="633" w:firstLineChars="198"/>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此次租赁范围及实物现状具体情况如下：</w:t>
      </w:r>
    </w:p>
    <w:tbl>
      <w:tblPr>
        <w:tblStyle w:val="5"/>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499"/>
        <w:gridCol w:w="1559"/>
        <w:gridCol w:w="155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序号</w:t>
            </w:r>
          </w:p>
        </w:tc>
        <w:tc>
          <w:tcPr>
            <w:tcW w:w="249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租赁房屋地址及名称</w:t>
            </w:r>
          </w:p>
        </w:tc>
        <w:tc>
          <w:tcPr>
            <w:tcW w:w="1559" w:type="dxa"/>
          </w:tcPr>
          <w:p>
            <w:pPr>
              <w:spacing w:line="360" w:lineRule="auto"/>
              <w:ind w:left="240" w:hanging="240" w:hangingChars="100"/>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租赁面积（</w:t>
            </w:r>
            <w:bookmarkStart w:id="1" w:name="_Hlk137156018"/>
            <w:r>
              <w:rPr>
                <w:rFonts w:hint="eastAsia" w:ascii="仿宋_GB2312" w:hAnsi="宋体" w:eastAsia="仿宋_GB2312" w:cs="宋体"/>
                <w:color w:val="auto"/>
                <w:kern w:val="0"/>
                <w:sz w:val="24"/>
                <w:szCs w:val="24"/>
              </w:rPr>
              <w:t>㎡</w:t>
            </w:r>
            <w:bookmarkEnd w:id="1"/>
            <w:r>
              <w:rPr>
                <w:rFonts w:hint="eastAsia" w:ascii="仿宋_GB2312" w:hAnsi="宋体" w:eastAsia="仿宋_GB2312" w:cs="宋体"/>
                <w:color w:val="auto"/>
                <w:kern w:val="0"/>
                <w:sz w:val="24"/>
                <w:szCs w:val="24"/>
              </w:rPr>
              <w:t>）</w:t>
            </w:r>
          </w:p>
        </w:tc>
        <w:tc>
          <w:tcPr>
            <w:tcW w:w="1559" w:type="dxa"/>
          </w:tcPr>
          <w:p>
            <w:pPr>
              <w:spacing w:line="360" w:lineRule="auto"/>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证载用途</w:t>
            </w:r>
          </w:p>
        </w:tc>
        <w:tc>
          <w:tcPr>
            <w:tcW w:w="2693" w:type="dxa"/>
          </w:tcPr>
          <w:p>
            <w:pPr>
              <w:spacing w:line="360" w:lineRule="auto"/>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实物现状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spacing w:line="360" w:lineRule="auto"/>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1</w:t>
            </w:r>
          </w:p>
        </w:tc>
        <w:tc>
          <w:tcPr>
            <w:tcW w:w="249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延平区环城路100号的A栋仓库</w:t>
            </w:r>
          </w:p>
        </w:tc>
        <w:tc>
          <w:tcPr>
            <w:tcW w:w="155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28.2</w:t>
            </w:r>
          </w:p>
        </w:tc>
        <w:tc>
          <w:tcPr>
            <w:tcW w:w="155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工矿仓储</w:t>
            </w:r>
          </w:p>
        </w:tc>
        <w:tc>
          <w:tcPr>
            <w:tcW w:w="2693"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原租赁合同即将到期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spacing w:line="360" w:lineRule="auto"/>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2</w:t>
            </w:r>
          </w:p>
        </w:tc>
        <w:tc>
          <w:tcPr>
            <w:tcW w:w="249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延平区环城路100号的B栋仓库</w:t>
            </w:r>
          </w:p>
        </w:tc>
        <w:tc>
          <w:tcPr>
            <w:tcW w:w="155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6.2</w:t>
            </w:r>
          </w:p>
        </w:tc>
        <w:tc>
          <w:tcPr>
            <w:tcW w:w="155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工矿仓储</w:t>
            </w:r>
          </w:p>
        </w:tc>
        <w:tc>
          <w:tcPr>
            <w:tcW w:w="2693"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原租赁合同即将到期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spacing w:line="360" w:lineRule="auto"/>
              <w:jc w:val="center"/>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3</w:t>
            </w:r>
          </w:p>
        </w:tc>
        <w:tc>
          <w:tcPr>
            <w:tcW w:w="249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延平区环城路100号的C栋仓库部分区域</w:t>
            </w:r>
          </w:p>
        </w:tc>
        <w:tc>
          <w:tcPr>
            <w:tcW w:w="1559" w:type="dxa"/>
          </w:tcPr>
          <w:p>
            <w:pPr>
              <w:spacing w:line="360" w:lineRule="auto"/>
              <w:rPr>
                <w:rFonts w:ascii="仿宋_GB2312" w:hAnsi="宋体" w:eastAsia="仿宋_GB2312" w:cs="宋体"/>
                <w:color w:val="auto"/>
                <w:kern w:val="0"/>
                <w:sz w:val="24"/>
                <w:szCs w:val="24"/>
              </w:rPr>
            </w:pPr>
            <w:r>
              <w:rPr>
                <w:rFonts w:ascii="仿宋_GB2312" w:hAnsi="宋体" w:eastAsia="仿宋_GB2312" w:cs="宋体"/>
                <w:color w:val="auto"/>
                <w:kern w:val="0"/>
                <w:sz w:val="24"/>
                <w:szCs w:val="24"/>
              </w:rPr>
              <w:t>1265.6</w:t>
            </w:r>
          </w:p>
        </w:tc>
        <w:tc>
          <w:tcPr>
            <w:tcW w:w="1559"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工矿仓储</w:t>
            </w:r>
          </w:p>
        </w:tc>
        <w:tc>
          <w:tcPr>
            <w:tcW w:w="2693" w:type="dxa"/>
          </w:tcPr>
          <w:p>
            <w:pPr>
              <w:spacing w:line="360" w:lineRule="auto"/>
              <w:rPr>
                <w:rFonts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原租赁合同即将到期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spacing w:line="360" w:lineRule="auto"/>
              <w:rPr>
                <w:rFonts w:hint="eastAsia" w:ascii="仿宋_GB2312" w:hAnsi="宋体" w:eastAsia="仿宋_GB2312" w:cs="宋体"/>
                <w:color w:val="auto"/>
                <w:kern w:val="0"/>
                <w:sz w:val="24"/>
                <w:szCs w:val="24"/>
              </w:rPr>
            </w:pPr>
          </w:p>
        </w:tc>
        <w:tc>
          <w:tcPr>
            <w:tcW w:w="2499" w:type="dxa"/>
          </w:tcPr>
          <w:p>
            <w:pPr>
              <w:spacing w:line="360" w:lineRule="auto"/>
              <w:jc w:val="center"/>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合计</w:t>
            </w:r>
          </w:p>
        </w:tc>
        <w:tc>
          <w:tcPr>
            <w:tcW w:w="1559" w:type="dxa"/>
          </w:tcPr>
          <w:p>
            <w:pPr>
              <w:spacing w:line="360" w:lineRule="auto"/>
              <w:rPr>
                <w:rFonts w:hint="eastAsia" w:ascii="仿宋_GB2312" w:hAnsi="宋体" w:eastAsia="仿宋_GB2312" w:cs="宋体"/>
                <w:color w:val="auto"/>
                <w:kern w:val="0"/>
                <w:sz w:val="24"/>
                <w:szCs w:val="24"/>
              </w:rPr>
            </w:pPr>
            <w:r>
              <w:rPr>
                <w:rFonts w:hint="eastAsia" w:ascii="仿宋_GB2312" w:hAnsi="宋体" w:eastAsia="仿宋_GB2312" w:cs="宋体"/>
                <w:color w:val="auto"/>
                <w:kern w:val="0"/>
                <w:sz w:val="24"/>
                <w:szCs w:val="24"/>
              </w:rPr>
              <w:t>1</w:t>
            </w:r>
            <w:r>
              <w:rPr>
                <w:rFonts w:ascii="仿宋_GB2312" w:hAnsi="宋体" w:eastAsia="仿宋_GB2312" w:cs="宋体"/>
                <w:color w:val="auto"/>
                <w:kern w:val="0"/>
                <w:sz w:val="24"/>
                <w:szCs w:val="24"/>
              </w:rPr>
              <w:t>300</w:t>
            </w:r>
          </w:p>
        </w:tc>
        <w:tc>
          <w:tcPr>
            <w:tcW w:w="1559" w:type="dxa"/>
          </w:tcPr>
          <w:p>
            <w:pPr>
              <w:spacing w:line="360" w:lineRule="auto"/>
              <w:rPr>
                <w:rFonts w:hint="eastAsia" w:ascii="仿宋_GB2312" w:hAnsi="宋体" w:eastAsia="仿宋_GB2312" w:cs="宋体"/>
                <w:color w:val="auto"/>
                <w:kern w:val="0"/>
                <w:sz w:val="24"/>
                <w:szCs w:val="24"/>
              </w:rPr>
            </w:pPr>
          </w:p>
        </w:tc>
        <w:tc>
          <w:tcPr>
            <w:tcW w:w="2693" w:type="dxa"/>
          </w:tcPr>
          <w:p>
            <w:pPr>
              <w:spacing w:line="360" w:lineRule="auto"/>
              <w:rPr>
                <w:rFonts w:ascii="仿宋_GB2312" w:hAnsi="宋体" w:eastAsia="仿宋_GB2312" w:cs="宋体"/>
                <w:color w:val="auto"/>
                <w:kern w:val="0"/>
                <w:sz w:val="24"/>
                <w:szCs w:val="24"/>
              </w:rPr>
            </w:pPr>
          </w:p>
        </w:tc>
      </w:tr>
    </w:tbl>
    <w:p>
      <w:pPr>
        <w:spacing w:line="360" w:lineRule="auto"/>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备注：具体面积以实际看样为准，租金不再因</w:t>
      </w:r>
      <w:r>
        <w:rPr>
          <w:rFonts w:hint="eastAsia" w:ascii="仿宋" w:hAnsi="仿宋" w:eastAsia="仿宋" w:cs="仿宋"/>
          <w:color w:val="auto"/>
          <w:sz w:val="32"/>
          <w:szCs w:val="32"/>
        </w:rPr>
        <w:t>现场实际测量面积而更改。</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二、租赁目的及可行性、租赁用途、租赁期限</w:t>
      </w:r>
    </w:p>
    <w:p>
      <w:pPr>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1.租赁目的及可行性：为稳住公司租赁效益，我司拟将</w:t>
      </w:r>
      <w:r>
        <w:rPr>
          <w:rFonts w:hint="eastAsia" w:ascii="仿宋_GB2312" w:hAnsi="宋体" w:eastAsia="仿宋_GB2312" w:cs="宋体"/>
          <w:color w:val="auto"/>
          <w:kern w:val="0"/>
          <w:sz w:val="32"/>
          <w:szCs w:val="32"/>
        </w:rPr>
        <w:t>南平市延平区环城路100号的A栋仓库、B栋仓库及C栋部分仓库整体公开</w:t>
      </w:r>
      <w:r>
        <w:rPr>
          <w:rFonts w:hint="eastAsia" w:ascii="仿宋_GB2312" w:hAnsi="仿宋_GB2312" w:eastAsia="仿宋_GB2312" w:cs="仿宋_GB2312"/>
          <w:color w:val="auto"/>
          <w:kern w:val="0"/>
          <w:sz w:val="32"/>
          <w:szCs w:val="32"/>
        </w:rPr>
        <w:t>对外租赁。</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2.租赁用途：仓库(不得用于经营法律法规不允许的行业)</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3.租赁期限：三年（自租赁标的交付之日起算）。</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三、租赁底价及确定依据，装修免租期、租金支付方式、租金递增率、履约保证金以及竞租方式。</w:t>
      </w:r>
    </w:p>
    <w:p>
      <w:pPr>
        <w:adjustRightInd w:val="0"/>
        <w:snapToGrid w:val="0"/>
        <w:spacing w:line="56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1.租赁底价及确定依据：为了夯实市场租赁价格，我司通过组织工作人员对</w:t>
      </w:r>
      <w:r>
        <w:rPr>
          <w:rFonts w:hint="eastAsia" w:ascii="仿宋_GB2312" w:hAnsi="宋体" w:eastAsia="仿宋_GB2312" w:cs="宋体"/>
          <w:color w:val="auto"/>
          <w:kern w:val="0"/>
          <w:sz w:val="32"/>
          <w:szCs w:val="32"/>
        </w:rPr>
        <w:t>南平市延平区100号</w:t>
      </w:r>
      <w:r>
        <w:rPr>
          <w:rFonts w:hint="eastAsia" w:ascii="仿宋_GB2312" w:hAnsi="仿宋_GB2312" w:eastAsia="仿宋_GB2312" w:cs="仿宋_GB2312"/>
          <w:color w:val="auto"/>
          <w:kern w:val="0"/>
          <w:sz w:val="32"/>
          <w:szCs w:val="32"/>
        </w:rPr>
        <w:t>周边租赁市场进行调研，结合当地租赁市场实际情况，根据</w:t>
      </w:r>
      <w:r>
        <w:rPr>
          <w:rFonts w:hint="eastAsia" w:ascii="仿宋_GB2312" w:hAnsi="宋体" w:eastAsia="仿宋_GB2312" w:cs="宋体"/>
          <w:color w:val="auto"/>
          <w:kern w:val="0"/>
          <w:sz w:val="32"/>
          <w:szCs w:val="32"/>
        </w:rPr>
        <w:t>南平市延平区环城路100号的A栋仓库、B栋仓库及C栋部分仓库整体对外租赁</w:t>
      </w:r>
      <w:r>
        <w:rPr>
          <w:rFonts w:hint="eastAsia" w:ascii="仿宋_GB2312" w:hAnsi="仿宋_GB2312" w:eastAsia="仿宋_GB2312" w:cs="仿宋_GB2312"/>
          <w:color w:val="auto"/>
          <w:kern w:val="0"/>
          <w:sz w:val="32"/>
          <w:szCs w:val="32"/>
        </w:rPr>
        <w:t>调研报告，最终确定的租赁底价（含税价）为：5.77元/㎡/月(即7501元/月)。</w:t>
      </w:r>
    </w:p>
    <w:p>
      <w:pPr>
        <w:adjustRightInd w:val="0"/>
        <w:snapToGrid w:val="0"/>
        <w:spacing w:line="560" w:lineRule="exact"/>
        <w:ind w:firstLine="640" w:firstLineChars="200"/>
        <w:rPr>
          <w:rFonts w:ascii="仿宋_GB2312" w:hAnsi="仿宋_GB2312" w:eastAsia="仿宋_GB2312" w:cs="宋体"/>
          <w:color w:val="auto"/>
          <w:kern w:val="1"/>
          <w:sz w:val="32"/>
          <w:szCs w:val="32"/>
        </w:rPr>
      </w:pPr>
      <w:r>
        <w:rPr>
          <w:rFonts w:hint="eastAsia" w:ascii="仿宋_GB2312" w:hAnsi="仿宋_GB2312" w:eastAsia="仿宋_GB2312" w:cs="仿宋_GB2312"/>
          <w:color w:val="auto"/>
          <w:kern w:val="0"/>
          <w:sz w:val="32"/>
          <w:szCs w:val="32"/>
        </w:rPr>
        <w:t>2. 租金支付方式：</w:t>
      </w:r>
      <w:r>
        <w:rPr>
          <w:rFonts w:hint="eastAsia" w:ascii="仿宋_GB2312" w:hAnsi="仿宋_GB2312" w:eastAsia="仿宋_GB2312" w:cs="仿宋_GB2312"/>
          <w:color w:val="auto"/>
          <w:sz w:val="32"/>
          <w:szCs w:val="32"/>
        </w:rPr>
        <w:t>租金以转账方式按照合同约定准时缴纳到出租方指定账户。每一个月为一期支付一次租金</w:t>
      </w:r>
      <w:r>
        <w:rPr>
          <w:rFonts w:hint="eastAsia" w:ascii="仿宋_GB2312" w:hAnsi="仿宋_GB2312" w:eastAsia="仿宋_GB2312" w:cs="仿宋_GB2312"/>
          <w:color w:val="auto"/>
          <w:kern w:val="0"/>
          <w:sz w:val="32"/>
          <w:szCs w:val="32"/>
        </w:rPr>
        <w:t>（先交后用）</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kern w:val="0"/>
          <w:sz w:val="32"/>
          <w:szCs w:val="32"/>
        </w:rPr>
        <w:t>签订《房屋租赁合同》当日即付首期一个月的租金，</w:t>
      </w:r>
      <w:r>
        <w:rPr>
          <w:rFonts w:ascii="仿宋_GB2312" w:hAnsi="仿宋_GB2312" w:eastAsia="仿宋_GB2312" w:cs="宋体"/>
          <w:color w:val="auto"/>
          <w:kern w:val="1"/>
          <w:sz w:val="32"/>
          <w:szCs w:val="32"/>
        </w:rPr>
        <w:t>后续每期结束前的</w:t>
      </w:r>
      <w:r>
        <w:rPr>
          <w:rFonts w:hint="eastAsia" w:ascii="仿宋_GB2312" w:hAnsi="仿宋_GB2312" w:eastAsia="仿宋_GB2312" w:cs="宋体"/>
          <w:color w:val="auto"/>
          <w:kern w:val="1"/>
          <w:sz w:val="32"/>
          <w:szCs w:val="32"/>
        </w:rPr>
        <w:t>5</w:t>
      </w:r>
      <w:r>
        <w:rPr>
          <w:rFonts w:ascii="仿宋_GB2312" w:hAnsi="仿宋_GB2312" w:eastAsia="仿宋_GB2312" w:cs="宋体"/>
          <w:color w:val="auto"/>
          <w:kern w:val="1"/>
          <w:sz w:val="32"/>
          <w:szCs w:val="32"/>
        </w:rPr>
        <w:t>日内向出租方支付下期租金。</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3.租金递增率：无递增;</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4.履约保证金：四个月月租金金额;</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5.装修免租期：无;</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6.竞租方式：企业自行组织公开招租</w:t>
      </w:r>
      <w:r>
        <w:rPr>
          <w:rFonts w:hint="eastAsia" w:ascii="仿宋_GB2312" w:hAnsi="仿宋_GB2312" w:eastAsia="仿宋_GB2312" w:cs="仿宋_GB2312"/>
          <w:color w:val="auto"/>
          <w:sz w:val="32"/>
          <w:szCs w:val="32"/>
        </w:rPr>
        <w:t>。（采用密封式一次性报价的方式，由报价最高的一方中标，低于租赁底价的报价视为无效报价）。</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四、承租方应具备的基本条件：</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1、自然人或企事业单位，无不良信用记录者方可参与竞价；</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2、资信良好，能严格按照房屋租赁合同约定履行的具有独立法人资格且有效续存的境内外法人或分支机构，以及具有完全民事行为能力的自然人。</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3、与福建省盐业集团有限责任公司及权属单位曾有租赁关系但有违约行为的不能参加竞租。</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4、竞租人未被列入全国法院失信被执行人名单。竞租人无涉及诉讼案件。</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五、承租方须接受的承租条件</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（二）房屋租赁合同生效期内，承租方若需对租赁物进行装修改造，需向出租方提出申请并通过，未经出租方书面同意，不得擅自改变租赁物</w:t>
      </w:r>
      <w:r>
        <w:rPr>
          <w:rFonts w:hint="eastAsia" w:ascii="仿宋_GB2312" w:hAnsi="宋体" w:eastAsia="仿宋_GB2312"/>
          <w:color w:val="auto"/>
          <w:sz w:val="32"/>
          <w:szCs w:val="32"/>
        </w:rPr>
        <w:t>的外观、主体结构或任何附属设施。</w:t>
      </w:r>
      <w:r>
        <w:rPr>
          <w:rFonts w:hint="eastAsia" w:ascii="仿宋_GB2312" w:hAnsi="仿宋_GB2312" w:eastAsia="仿宋_GB2312" w:cs="仿宋_GB2312"/>
          <w:color w:val="auto"/>
          <w:sz w:val="32"/>
          <w:szCs w:val="32"/>
        </w:rPr>
        <w:t>在出租方同意后方可执行，且承诺在《房屋租赁合同》到期或退租后10日内无条件将租赁物内结构恢复原样交还给我方。承租方如因故意或重大过失造成租赁物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（三）</w:t>
      </w:r>
      <w:r>
        <w:rPr>
          <w:rFonts w:ascii="仿宋_GB2312" w:hAnsi="宋体" w:eastAsia="仿宋_GB2312"/>
          <w:color w:val="auto"/>
          <w:sz w:val="32"/>
          <w:szCs w:val="32"/>
        </w:rPr>
        <w:t>承租方应在成交结果公示结束次日起</w:t>
      </w:r>
      <w:r>
        <w:rPr>
          <w:rFonts w:hint="eastAsia" w:ascii="仿宋_GB2312" w:hAnsi="宋体" w:eastAsia="仿宋_GB2312"/>
          <w:color w:val="auto"/>
          <w:sz w:val="32"/>
          <w:szCs w:val="32"/>
        </w:rPr>
        <w:t>五</w:t>
      </w:r>
      <w:r>
        <w:rPr>
          <w:rFonts w:ascii="仿宋_GB2312" w:hAnsi="宋体" w:eastAsia="仿宋_GB2312"/>
          <w:color w:val="auto"/>
          <w:sz w:val="32"/>
          <w:szCs w:val="32"/>
        </w:rPr>
        <w:t>个工作日内与</w:t>
      </w:r>
      <w:r>
        <w:rPr>
          <w:rFonts w:hint="eastAsia" w:ascii="仿宋_GB2312" w:hAnsi="宋体" w:eastAsia="仿宋_GB2312"/>
          <w:color w:val="auto"/>
          <w:sz w:val="32"/>
          <w:szCs w:val="32"/>
        </w:rPr>
        <w:t>出</w:t>
      </w:r>
      <w:r>
        <w:rPr>
          <w:rFonts w:ascii="仿宋_GB2312" w:hAnsi="宋体" w:eastAsia="仿宋_GB2312"/>
          <w:color w:val="auto"/>
          <w:sz w:val="32"/>
          <w:szCs w:val="32"/>
        </w:rPr>
        <w:t>租方签订</w:t>
      </w:r>
      <w:bookmarkStart w:id="2" w:name="_Hlk137156700"/>
      <w:r>
        <w:rPr>
          <w:rFonts w:hint="eastAsia" w:ascii="仿宋_GB2312" w:hAnsi="宋体" w:eastAsia="仿宋_GB2312"/>
          <w:color w:val="auto"/>
          <w:sz w:val="32"/>
          <w:szCs w:val="32"/>
        </w:rPr>
        <w:t>《房屋租赁合同》</w:t>
      </w:r>
      <w:bookmarkEnd w:id="2"/>
      <w:r>
        <w:rPr>
          <w:rFonts w:hint="eastAsia" w:ascii="仿宋_GB2312" w:hAnsi="宋体" w:eastAsia="仿宋_GB2312"/>
          <w:color w:val="auto"/>
          <w:sz w:val="32"/>
          <w:szCs w:val="32"/>
        </w:rPr>
        <w:t>，按时缴</w:t>
      </w:r>
      <w:r>
        <w:rPr>
          <w:rFonts w:ascii="仿宋_GB2312" w:hAnsi="宋体" w:eastAsia="仿宋_GB2312"/>
          <w:color w:val="auto"/>
          <w:sz w:val="32"/>
          <w:szCs w:val="32"/>
        </w:rPr>
        <w:t>纳首</w:t>
      </w:r>
      <w:r>
        <w:rPr>
          <w:rFonts w:hint="eastAsia" w:ascii="仿宋_GB2312" w:hAnsi="宋体" w:eastAsia="仿宋_GB2312"/>
          <w:color w:val="auto"/>
          <w:sz w:val="32"/>
          <w:szCs w:val="32"/>
        </w:rPr>
        <w:t>期一个月的</w:t>
      </w:r>
      <w:r>
        <w:rPr>
          <w:rFonts w:ascii="仿宋_GB2312" w:hAnsi="宋体" w:eastAsia="仿宋_GB2312"/>
          <w:color w:val="auto"/>
          <w:sz w:val="32"/>
          <w:szCs w:val="32"/>
        </w:rPr>
        <w:t>租金</w:t>
      </w:r>
      <w:r>
        <w:rPr>
          <w:rFonts w:hint="eastAsia" w:ascii="仿宋_GB2312" w:hAnsi="宋体" w:eastAsia="仿宋_GB2312"/>
          <w:color w:val="auto"/>
          <w:sz w:val="32"/>
          <w:szCs w:val="32"/>
        </w:rPr>
        <w:t>及四个月租金金额的履约保证金</w:t>
      </w:r>
      <w:r>
        <w:rPr>
          <w:rFonts w:ascii="仿宋_GB2312" w:hAnsi="宋体" w:eastAsia="仿宋_GB2312"/>
          <w:color w:val="auto"/>
          <w:sz w:val="32"/>
          <w:szCs w:val="32"/>
        </w:rPr>
        <w:t>至出租方指定的账户（收款人名称：福建省</w:t>
      </w:r>
      <w:r>
        <w:rPr>
          <w:rFonts w:hint="eastAsia" w:ascii="仿宋_GB2312" w:hAnsi="宋体" w:eastAsia="仿宋_GB2312"/>
          <w:color w:val="auto"/>
          <w:sz w:val="32"/>
          <w:szCs w:val="32"/>
        </w:rPr>
        <w:t>南平盐业</w:t>
      </w:r>
      <w:r>
        <w:rPr>
          <w:rFonts w:ascii="仿宋_GB2312" w:hAnsi="宋体" w:eastAsia="仿宋_GB2312"/>
          <w:color w:val="auto"/>
          <w:sz w:val="32"/>
          <w:szCs w:val="32"/>
        </w:rPr>
        <w:t>有限</w:t>
      </w:r>
      <w:r>
        <w:rPr>
          <w:rFonts w:hint="eastAsia" w:ascii="仿宋_GB2312" w:hAnsi="宋体" w:eastAsia="仿宋_GB2312"/>
          <w:color w:val="auto"/>
          <w:sz w:val="32"/>
          <w:szCs w:val="32"/>
        </w:rPr>
        <w:t>责任</w:t>
      </w:r>
      <w:r>
        <w:rPr>
          <w:rFonts w:ascii="仿宋_GB2312" w:hAnsi="宋体" w:eastAsia="仿宋_GB2312"/>
          <w:color w:val="auto"/>
          <w:sz w:val="32"/>
          <w:szCs w:val="32"/>
        </w:rPr>
        <w:t>公司</w:t>
      </w:r>
      <w:r>
        <w:rPr>
          <w:rFonts w:hint="eastAsia" w:ascii="仿宋_GB2312" w:hAnsi="宋体" w:eastAsia="仿宋_GB2312"/>
          <w:color w:val="auto"/>
          <w:sz w:val="32"/>
          <w:szCs w:val="32"/>
        </w:rPr>
        <w:t>，</w:t>
      </w:r>
      <w:r>
        <w:rPr>
          <w:rFonts w:ascii="仿宋_GB2312" w:hAnsi="宋体" w:eastAsia="仿宋_GB2312"/>
          <w:color w:val="auto"/>
          <w:sz w:val="32"/>
          <w:szCs w:val="32"/>
        </w:rPr>
        <w:t>开户行：工行</w:t>
      </w:r>
      <w:r>
        <w:rPr>
          <w:rFonts w:hint="eastAsia" w:ascii="仿宋_GB2312" w:hAnsi="宋体" w:eastAsia="仿宋_GB2312"/>
          <w:color w:val="auto"/>
          <w:sz w:val="32"/>
          <w:szCs w:val="32"/>
        </w:rPr>
        <w:t>南平延平</w:t>
      </w:r>
      <w:r>
        <w:rPr>
          <w:rFonts w:ascii="仿宋_GB2312" w:hAnsi="宋体" w:eastAsia="仿宋_GB2312"/>
          <w:color w:val="auto"/>
          <w:sz w:val="32"/>
          <w:szCs w:val="32"/>
        </w:rPr>
        <w:t>支行</w:t>
      </w:r>
      <w:r>
        <w:rPr>
          <w:rFonts w:hint="eastAsia" w:ascii="仿宋_GB2312" w:hAnsi="宋体" w:eastAsia="仿宋_GB2312"/>
          <w:color w:val="auto"/>
          <w:sz w:val="32"/>
          <w:szCs w:val="32"/>
        </w:rPr>
        <w:t>，</w:t>
      </w:r>
      <w:r>
        <w:rPr>
          <w:rFonts w:ascii="仿宋_GB2312" w:hAnsi="宋体" w:eastAsia="仿宋_GB2312"/>
          <w:color w:val="auto"/>
          <w:sz w:val="32"/>
          <w:szCs w:val="32"/>
        </w:rPr>
        <w:t>账号：</w:t>
      </w:r>
      <w:r>
        <w:rPr>
          <w:rFonts w:hint="eastAsia" w:ascii="仿宋_GB2312" w:hAnsi="宋体" w:eastAsia="仿宋_GB2312"/>
          <w:color w:val="auto"/>
          <w:sz w:val="32"/>
          <w:szCs w:val="32"/>
        </w:rPr>
        <w:t>1406041619009312566</w:t>
      </w:r>
      <w:r>
        <w:rPr>
          <w:rFonts w:ascii="仿宋_GB2312" w:hAnsi="宋体" w:eastAsia="仿宋_GB2312"/>
          <w:color w:val="auto"/>
          <w:sz w:val="32"/>
          <w:szCs w:val="32"/>
        </w:rPr>
        <w:t>），</w:t>
      </w:r>
      <w:r>
        <w:rPr>
          <w:rFonts w:hint="eastAsia" w:ascii="仿宋_GB2312" w:hAnsi="宋体" w:eastAsia="仿宋_GB2312"/>
          <w:color w:val="auto"/>
          <w:sz w:val="32"/>
          <w:szCs w:val="32"/>
        </w:rPr>
        <w:t>如承租方未及时缴纳履约保证金及第一期租金的，</w:t>
      </w:r>
      <w:r>
        <w:rPr>
          <w:rFonts w:ascii="仿宋_GB2312" w:hAnsi="宋体" w:eastAsia="仿宋_GB2312"/>
          <w:color w:val="auto"/>
          <w:sz w:val="32"/>
          <w:szCs w:val="32"/>
        </w:rPr>
        <w:t>竞</w:t>
      </w:r>
      <w:r>
        <w:rPr>
          <w:rFonts w:hint="eastAsia" w:ascii="仿宋_GB2312" w:hAnsi="宋体" w:eastAsia="仿宋_GB2312"/>
          <w:color w:val="auto"/>
          <w:sz w:val="32"/>
          <w:szCs w:val="32"/>
        </w:rPr>
        <w:t>租</w:t>
      </w:r>
      <w:r>
        <w:rPr>
          <w:rFonts w:ascii="仿宋_GB2312" w:hAnsi="宋体" w:eastAsia="仿宋_GB2312"/>
          <w:color w:val="auto"/>
          <w:sz w:val="32"/>
          <w:szCs w:val="32"/>
        </w:rPr>
        <w:t>保证金不予返还。</w:t>
      </w:r>
    </w:p>
    <w:p>
      <w:pPr>
        <w:pStyle w:val="2"/>
        <w:ind w:firstLine="640" w:firstLineChars="200"/>
        <w:rPr>
          <w:color w:val="auto"/>
        </w:rPr>
      </w:pPr>
      <w:r>
        <w:rPr>
          <w:rFonts w:hint="eastAsia" w:ascii="仿宋_GB2312" w:hAnsi="宋体" w:eastAsia="仿宋_GB2312"/>
          <w:color w:val="auto"/>
          <w:sz w:val="32"/>
          <w:szCs w:val="32"/>
        </w:rPr>
        <w:t>（四）其他必须接受的条件详见《房屋租赁合同》，产权所有人拥有最终解释权。</w:t>
      </w:r>
    </w:p>
    <w:p>
      <w:pPr>
        <w:widowControl/>
        <w:spacing w:line="270" w:lineRule="atLeas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六、竞租保证金：人民币0.5万元。</w:t>
      </w:r>
    </w:p>
    <w:p>
      <w:pPr>
        <w:widowControl/>
        <w:spacing w:line="540" w:lineRule="exact"/>
        <w:ind w:firstLine="627" w:firstLineChars="196"/>
        <w:jc w:val="left"/>
        <w:rPr>
          <w:rFonts w:ascii="仿宋_GB2312" w:hAnsi="宋体" w:eastAsia="仿宋_GB2312"/>
          <w:color w:val="auto"/>
          <w:sz w:val="32"/>
          <w:szCs w:val="32"/>
        </w:rPr>
      </w:pPr>
      <w:r>
        <w:rPr>
          <w:rFonts w:hint="eastAsia" w:ascii="仿宋_GB2312" w:hAnsi="宋体" w:eastAsia="仿宋_GB2312"/>
          <w:color w:val="auto"/>
          <w:sz w:val="32"/>
          <w:szCs w:val="32"/>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color w:val="auto"/>
          <w:sz w:val="32"/>
          <w:szCs w:val="32"/>
        </w:rPr>
      </w:pPr>
      <w:r>
        <w:rPr>
          <w:rFonts w:hint="eastAsia" w:ascii="黑体" w:hAnsi="黑体" w:eastAsia="黑体" w:cs="黑体"/>
          <w:color w:val="auto"/>
          <w:sz w:val="32"/>
          <w:szCs w:val="32"/>
        </w:rPr>
        <w:t>七、公告信息：</w:t>
      </w:r>
      <w:r>
        <w:rPr>
          <w:rFonts w:hint="eastAsia" w:ascii="仿宋" w:hAnsi="仿宋" w:eastAsia="仿宋"/>
          <w:color w:val="auto"/>
          <w:sz w:val="32"/>
          <w:szCs w:val="32"/>
        </w:rPr>
        <w:t>福建省产权交易信息网(</w:t>
      </w:r>
      <w:r>
        <w:rPr>
          <w:rFonts w:ascii="仿宋" w:hAnsi="仿宋" w:eastAsia="仿宋"/>
          <w:color w:val="auto"/>
          <w:sz w:val="32"/>
          <w:szCs w:val="32"/>
        </w:rPr>
        <w:t>www.fjcqjy.com</w:t>
      </w:r>
    </w:p>
    <w:p>
      <w:pPr>
        <w:widowControl/>
        <w:spacing w:line="270" w:lineRule="atLeast"/>
        <w:ind w:firstLine="640" w:firstLineChars="200"/>
        <w:jc w:val="left"/>
        <w:rPr>
          <w:rFonts w:ascii="仿宋_GB2312" w:hAnsi="宋体" w:eastAsia="仿宋_GB2312" w:cs="宋体"/>
          <w:b/>
          <w:bCs/>
          <w:color w:val="auto"/>
          <w:kern w:val="0"/>
          <w:sz w:val="32"/>
          <w:szCs w:val="32"/>
        </w:rPr>
      </w:pPr>
      <w:r>
        <w:rPr>
          <w:rFonts w:hint="eastAsia" w:ascii="仿宋" w:hAnsi="仿宋" w:eastAsia="仿宋"/>
          <w:color w:val="auto"/>
          <w:sz w:val="32"/>
          <w:szCs w:val="32"/>
        </w:rPr>
        <w:t>)、</w:t>
      </w:r>
      <w:r>
        <w:rPr>
          <w:rFonts w:hint="eastAsia" w:ascii="仿宋_GB2312" w:hAnsi="宋体" w:eastAsia="仿宋_GB2312" w:cs="宋体"/>
          <w:color w:val="auto"/>
          <w:kern w:val="0"/>
          <w:sz w:val="32"/>
          <w:szCs w:val="32"/>
        </w:rPr>
        <w:t>福建省盐业集团有限责任公司网站（http://www.fjsalt.com/）、南平市延平区环城路100号周边、南平盐业公司大楼周边、58同城等网站发布招租公告等。</w:t>
      </w:r>
    </w:p>
    <w:p>
      <w:pPr>
        <w:spacing w:line="579" w:lineRule="exact"/>
        <w:ind w:firstLine="640" w:firstLineChars="200"/>
        <w:rPr>
          <w:rFonts w:ascii="仿宋_GB2312" w:hAnsi="宋体" w:eastAsia="仿宋_GB2312" w:cs="宋体"/>
          <w:color w:val="auto"/>
          <w:kern w:val="0"/>
          <w:sz w:val="32"/>
          <w:szCs w:val="32"/>
        </w:rPr>
      </w:pPr>
      <w:r>
        <w:rPr>
          <w:rFonts w:hint="eastAsia" w:ascii="黑体" w:hAnsi="黑体" w:eastAsia="黑体" w:cs="黑体"/>
          <w:color w:val="auto"/>
          <w:sz w:val="32"/>
          <w:szCs w:val="32"/>
        </w:rPr>
        <w:t>八、公告期限：</w:t>
      </w:r>
      <w:r>
        <w:rPr>
          <w:rFonts w:hint="eastAsia" w:ascii="仿宋_GB2312" w:hAnsi="宋体" w:eastAsia="仿宋_GB2312" w:cs="宋体"/>
          <w:color w:val="auto"/>
          <w:kern w:val="0"/>
          <w:sz w:val="32"/>
          <w:szCs w:val="32"/>
        </w:rPr>
        <w:t>2023年</w:t>
      </w: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日—2023年</w:t>
      </w: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26</w:t>
      </w:r>
      <w:r>
        <w:rPr>
          <w:rFonts w:hint="eastAsia" w:ascii="仿宋_GB2312" w:hAnsi="宋体" w:eastAsia="仿宋_GB2312" w:cs="宋体"/>
          <w:color w:val="auto"/>
          <w:kern w:val="0"/>
          <w:sz w:val="32"/>
          <w:szCs w:val="32"/>
        </w:rPr>
        <w:t>日。（自招租公告正式对外张贴起15个工作日</w:t>
      </w:r>
      <w:r>
        <w:rPr>
          <w:rFonts w:hint="eastAsia" w:ascii="仿宋_GB2312" w:hAnsi="宋体" w:eastAsia="仿宋_GB2312" w:cs="宋体"/>
          <w:color w:val="auto"/>
          <w:kern w:val="0"/>
          <w:sz w:val="32"/>
          <w:szCs w:val="32"/>
          <w:lang w:eastAsia="zh-CN"/>
        </w:rPr>
        <w:t>）</w:t>
      </w:r>
      <w:bookmarkStart w:id="3" w:name="_GoBack"/>
      <w:bookmarkEnd w:id="3"/>
      <w:r>
        <w:rPr>
          <w:rFonts w:hint="eastAsia" w:ascii="仿宋_GB2312" w:hAnsi="宋体" w:eastAsia="仿宋_GB2312" w:cs="宋体"/>
          <w:color w:val="auto"/>
          <w:kern w:val="0"/>
          <w:sz w:val="32"/>
          <w:szCs w:val="32"/>
        </w:rPr>
        <w:t>，意向承租方在公告期内到福建省南平盐业有限责任公司获取《竞价须知》）。</w:t>
      </w:r>
    </w:p>
    <w:p>
      <w:pPr>
        <w:widowControl/>
        <w:spacing w:line="579" w:lineRule="exact"/>
        <w:ind w:firstLine="640" w:firstLineChars="200"/>
        <w:jc w:val="left"/>
        <w:rPr>
          <w:rFonts w:ascii="仿宋_GB2312" w:hAnsi="宋体" w:eastAsia="仿宋_GB2312" w:cs="宋体"/>
          <w:color w:val="auto"/>
          <w:kern w:val="0"/>
          <w:sz w:val="32"/>
          <w:szCs w:val="32"/>
        </w:rPr>
      </w:pPr>
      <w:r>
        <w:rPr>
          <w:rFonts w:hint="eastAsia" w:ascii="黑体" w:hAnsi="黑体" w:eastAsia="黑体" w:cs="黑体"/>
          <w:color w:val="auto"/>
          <w:sz w:val="32"/>
          <w:szCs w:val="32"/>
        </w:rPr>
        <w:t>九、咨询电话</w:t>
      </w:r>
      <w:r>
        <w:rPr>
          <w:rFonts w:hint="eastAsia" w:ascii="仿宋_GB2312" w:hAnsi="宋体" w:eastAsia="仿宋_GB2312" w:cs="宋体"/>
          <w:b/>
          <w:bCs/>
          <w:color w:val="auto"/>
          <w:kern w:val="0"/>
          <w:sz w:val="32"/>
          <w:szCs w:val="32"/>
        </w:rPr>
        <w:t>：</w:t>
      </w:r>
      <w:r>
        <w:rPr>
          <w:rFonts w:hint="eastAsia" w:ascii="仿宋_GB2312" w:hAnsi="宋体" w:eastAsia="仿宋_GB2312" w:cs="宋体"/>
          <w:color w:val="auto"/>
          <w:kern w:val="0"/>
          <w:sz w:val="32"/>
          <w:szCs w:val="32"/>
        </w:rPr>
        <w:t>0599-8834157  联系人：陈先生</w:t>
      </w:r>
    </w:p>
    <w:p>
      <w:pPr>
        <w:widowControl/>
        <w:spacing w:line="579" w:lineRule="exact"/>
        <w:ind w:firstLine="1280" w:firstLineChars="400"/>
        <w:jc w:val="left"/>
        <w:rPr>
          <w:rFonts w:eastAsia="仿宋_GB2312"/>
          <w:color w:val="auto"/>
        </w:rPr>
      </w:pPr>
      <w:r>
        <w:rPr>
          <w:rFonts w:hint="eastAsia" w:ascii="黑体" w:hAnsi="黑体" w:eastAsia="黑体" w:cs="黑体"/>
          <w:color w:val="auto"/>
          <w:sz w:val="32"/>
          <w:szCs w:val="32"/>
        </w:rPr>
        <w:t>监督电话</w:t>
      </w:r>
      <w:r>
        <w:rPr>
          <w:rFonts w:hint="eastAsia" w:ascii="仿宋_GB2312" w:hAnsi="宋体" w:eastAsia="仿宋_GB2312" w:cs="宋体"/>
          <w:b/>
          <w:bCs/>
          <w:color w:val="auto"/>
          <w:kern w:val="0"/>
          <w:sz w:val="32"/>
          <w:szCs w:val="32"/>
        </w:rPr>
        <w:t>：</w:t>
      </w:r>
      <w:r>
        <w:rPr>
          <w:rFonts w:hint="eastAsia" w:ascii="仿宋_GB2312" w:hAnsi="宋体" w:eastAsia="仿宋_GB2312" w:cs="宋体"/>
          <w:color w:val="auto"/>
          <w:kern w:val="0"/>
          <w:sz w:val="32"/>
          <w:szCs w:val="32"/>
        </w:rPr>
        <w:t>0599-8834157  联系人：张先生</w:t>
      </w:r>
    </w:p>
    <w:p>
      <w:pPr>
        <w:widowControl/>
        <w:spacing w:line="579"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地址：福建省南平市延平区滨江中路553号盐业大楼</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spacing w:line="579" w:lineRule="exact"/>
        <w:ind w:firstLine="640" w:firstLineChars="20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福建省南平盐业有限责任公司</w:t>
      </w:r>
    </w:p>
    <w:p>
      <w:pPr>
        <w:spacing w:line="579" w:lineRule="exact"/>
        <w:rPr>
          <w:color w:val="auto"/>
        </w:rPr>
      </w:pPr>
      <w:r>
        <w:rPr>
          <w:rFonts w:hint="eastAsia" w:ascii="仿宋_GB2312" w:hAnsi="仿宋_GB2312" w:eastAsia="仿宋_GB2312" w:cs="仿宋_GB2312"/>
          <w:color w:val="auto"/>
          <w:sz w:val="32"/>
          <w:szCs w:val="32"/>
        </w:rPr>
        <w:t xml:space="preserve">                                 2023年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月1日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W5cJ2gAAAAsBAAAPAAAAAAAAAAEAIAAAACIAAABkcnMvZG93bnJl&#10;di54bWxQSwECFAAUAAAACACHTuJAvJxFgDQCAABiBAAADgAAAAAAAAABACAAAAApAQAAZHJzL2Uy&#10;b0RvYy54bWxQSwUGAAAAAAYABgBZAQAAzwU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hYTAwM2UwOWE1OTNiNzA5OGE5NjNhNDI0YjAwZTMifQ=="/>
  </w:docVars>
  <w:rsids>
    <w:rsidRoot w:val="00172A27"/>
    <w:rsid w:val="000012E2"/>
    <w:rsid w:val="00172A27"/>
    <w:rsid w:val="00212F1C"/>
    <w:rsid w:val="009527D3"/>
    <w:rsid w:val="00D7121A"/>
    <w:rsid w:val="00ED21E7"/>
    <w:rsid w:val="00FA7FCE"/>
    <w:rsid w:val="01E430D3"/>
    <w:rsid w:val="036653D5"/>
    <w:rsid w:val="041753BF"/>
    <w:rsid w:val="043C2170"/>
    <w:rsid w:val="04897287"/>
    <w:rsid w:val="04A245D4"/>
    <w:rsid w:val="064316AF"/>
    <w:rsid w:val="06CA4E1A"/>
    <w:rsid w:val="089375DA"/>
    <w:rsid w:val="0927768B"/>
    <w:rsid w:val="09611B54"/>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535B1A"/>
    <w:rsid w:val="14857118"/>
    <w:rsid w:val="14881943"/>
    <w:rsid w:val="14A446F2"/>
    <w:rsid w:val="14D967C0"/>
    <w:rsid w:val="150D6518"/>
    <w:rsid w:val="15176C8D"/>
    <w:rsid w:val="15F31ED7"/>
    <w:rsid w:val="166F1FB2"/>
    <w:rsid w:val="16D15DBB"/>
    <w:rsid w:val="17975773"/>
    <w:rsid w:val="1BB73E81"/>
    <w:rsid w:val="1C952179"/>
    <w:rsid w:val="1CC506B6"/>
    <w:rsid w:val="1D1828AE"/>
    <w:rsid w:val="1E94282F"/>
    <w:rsid w:val="1EF421C2"/>
    <w:rsid w:val="20931235"/>
    <w:rsid w:val="23350ECD"/>
    <w:rsid w:val="23427BE5"/>
    <w:rsid w:val="25EF36B8"/>
    <w:rsid w:val="261E78D3"/>
    <w:rsid w:val="2A5102BF"/>
    <w:rsid w:val="2AB61FA4"/>
    <w:rsid w:val="2AE332DD"/>
    <w:rsid w:val="2B25018C"/>
    <w:rsid w:val="2B8952B3"/>
    <w:rsid w:val="2BC01211"/>
    <w:rsid w:val="2BDA3939"/>
    <w:rsid w:val="2C107158"/>
    <w:rsid w:val="2C704A09"/>
    <w:rsid w:val="2C84508C"/>
    <w:rsid w:val="2E4A75D4"/>
    <w:rsid w:val="2E8C28D8"/>
    <w:rsid w:val="2EEF7391"/>
    <w:rsid w:val="2F1202BC"/>
    <w:rsid w:val="2FED56C3"/>
    <w:rsid w:val="300A52B3"/>
    <w:rsid w:val="30E45DF7"/>
    <w:rsid w:val="3142011E"/>
    <w:rsid w:val="339958EB"/>
    <w:rsid w:val="35910D47"/>
    <w:rsid w:val="36ED0899"/>
    <w:rsid w:val="37E00CED"/>
    <w:rsid w:val="37FD7C8D"/>
    <w:rsid w:val="389C28F5"/>
    <w:rsid w:val="38E90167"/>
    <w:rsid w:val="3A8751F9"/>
    <w:rsid w:val="3A916DAC"/>
    <w:rsid w:val="3B5F7FEA"/>
    <w:rsid w:val="3B9F5DE6"/>
    <w:rsid w:val="3C724197"/>
    <w:rsid w:val="3D1A0790"/>
    <w:rsid w:val="3F1225B8"/>
    <w:rsid w:val="40BA2284"/>
    <w:rsid w:val="40D65C15"/>
    <w:rsid w:val="40DB31EA"/>
    <w:rsid w:val="41910DFC"/>
    <w:rsid w:val="41F764E2"/>
    <w:rsid w:val="423B7450"/>
    <w:rsid w:val="425A02AD"/>
    <w:rsid w:val="42A24743"/>
    <w:rsid w:val="43601E36"/>
    <w:rsid w:val="449459FC"/>
    <w:rsid w:val="44A40ABD"/>
    <w:rsid w:val="462E4D5E"/>
    <w:rsid w:val="469A3B67"/>
    <w:rsid w:val="46BF00A6"/>
    <w:rsid w:val="46DA1505"/>
    <w:rsid w:val="47420C32"/>
    <w:rsid w:val="47643BE9"/>
    <w:rsid w:val="47862C6C"/>
    <w:rsid w:val="47994619"/>
    <w:rsid w:val="47F222DE"/>
    <w:rsid w:val="48025089"/>
    <w:rsid w:val="491D7293"/>
    <w:rsid w:val="4A5201A1"/>
    <w:rsid w:val="4A9E5488"/>
    <w:rsid w:val="4AA664C1"/>
    <w:rsid w:val="4AB90662"/>
    <w:rsid w:val="4B4D4929"/>
    <w:rsid w:val="4B6542D8"/>
    <w:rsid w:val="4B726349"/>
    <w:rsid w:val="4CE30E5D"/>
    <w:rsid w:val="502E53C8"/>
    <w:rsid w:val="505826DD"/>
    <w:rsid w:val="50817AE0"/>
    <w:rsid w:val="50D927ED"/>
    <w:rsid w:val="50EB3C27"/>
    <w:rsid w:val="51101529"/>
    <w:rsid w:val="514B5BDA"/>
    <w:rsid w:val="52183B5F"/>
    <w:rsid w:val="533E7D1E"/>
    <w:rsid w:val="545A401B"/>
    <w:rsid w:val="547A5843"/>
    <w:rsid w:val="5566337A"/>
    <w:rsid w:val="56A570B5"/>
    <w:rsid w:val="56F86B5E"/>
    <w:rsid w:val="56F87CD7"/>
    <w:rsid w:val="57857148"/>
    <w:rsid w:val="58026A11"/>
    <w:rsid w:val="58BC7375"/>
    <w:rsid w:val="5B021487"/>
    <w:rsid w:val="5B1605E4"/>
    <w:rsid w:val="5B374619"/>
    <w:rsid w:val="5C012EB9"/>
    <w:rsid w:val="5C4F616D"/>
    <w:rsid w:val="5D077D0D"/>
    <w:rsid w:val="5D6201F9"/>
    <w:rsid w:val="5D75228F"/>
    <w:rsid w:val="5E3E5842"/>
    <w:rsid w:val="5EDF3985"/>
    <w:rsid w:val="5F3834CB"/>
    <w:rsid w:val="5FB06671"/>
    <w:rsid w:val="600B2395"/>
    <w:rsid w:val="60867F4B"/>
    <w:rsid w:val="613E1425"/>
    <w:rsid w:val="620B52A2"/>
    <w:rsid w:val="624C65FF"/>
    <w:rsid w:val="62D47B57"/>
    <w:rsid w:val="633015DE"/>
    <w:rsid w:val="63455525"/>
    <w:rsid w:val="63D3323B"/>
    <w:rsid w:val="63FB7DD1"/>
    <w:rsid w:val="65D86CD0"/>
    <w:rsid w:val="65DC12EE"/>
    <w:rsid w:val="65DD59F3"/>
    <w:rsid w:val="68360D37"/>
    <w:rsid w:val="69047ECE"/>
    <w:rsid w:val="69C34D3F"/>
    <w:rsid w:val="69CD5199"/>
    <w:rsid w:val="6A381914"/>
    <w:rsid w:val="6B8C43AF"/>
    <w:rsid w:val="6BBB2C65"/>
    <w:rsid w:val="6D3046F1"/>
    <w:rsid w:val="6EA07908"/>
    <w:rsid w:val="6FE641B3"/>
    <w:rsid w:val="70286719"/>
    <w:rsid w:val="70865A59"/>
    <w:rsid w:val="71436306"/>
    <w:rsid w:val="714519B2"/>
    <w:rsid w:val="71580E81"/>
    <w:rsid w:val="730368ED"/>
    <w:rsid w:val="73EB627C"/>
    <w:rsid w:val="75181E96"/>
    <w:rsid w:val="754F27A2"/>
    <w:rsid w:val="75775013"/>
    <w:rsid w:val="76EE3D77"/>
    <w:rsid w:val="76F15AC0"/>
    <w:rsid w:val="785D74A8"/>
    <w:rsid w:val="79DB33B5"/>
    <w:rsid w:val="7A413D69"/>
    <w:rsid w:val="7AF241CD"/>
    <w:rsid w:val="7B545648"/>
    <w:rsid w:val="7B9C4AB9"/>
    <w:rsid w:val="7F037444"/>
    <w:rsid w:val="7F1B1C50"/>
    <w:rsid w:val="7FB03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Words>
  <Characters>2063</Characters>
  <Lines>17</Lines>
  <Paragraphs>4</Paragraphs>
  <TotalTime>21</TotalTime>
  <ScaleCrop>false</ScaleCrop>
  <LinksUpToDate>false</LinksUpToDate>
  <CharactersWithSpaces>2420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2023-06-08T14:48:00Z</dcterms:created>
  <dc:creator>Windows7</dc:creator>
  <cp:lastModifiedBy>cC远远Cc</cp:lastModifiedBy>
  <dcterms:modified xsi:type="dcterms:W3CDTF">2023-07-06T07:12:21Z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